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31" w:rsidRDefault="004D28DC">
      <w:pPr>
        <w:framePr w:wrap="none" w:vAnchor="page" w:hAnchor="page" w:x="712" w:y="7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72275" cy="2057400"/>
            <wp:effectExtent l="0" t="0" r="9525" b="0"/>
            <wp:docPr id="1" name="Рисунок 1" descr="C:\Users\35-30_2\Desktop\для Ив Ив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-30_2\Desktop\для Ив Ив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31" w:rsidRPr="004D28DC" w:rsidRDefault="00992088">
      <w:pPr>
        <w:pStyle w:val="20"/>
        <w:framePr w:w="9259" w:h="695" w:hRule="exact" w:wrap="none" w:vAnchor="page" w:hAnchor="page" w:x="1643" w:y="5260"/>
        <w:shd w:val="clear" w:color="auto" w:fill="auto"/>
        <w:spacing w:before="0" w:after="0"/>
        <w:ind w:left="4800"/>
        <w:rPr>
          <w:rFonts w:ascii="Lato" w:hAnsi="Lato"/>
          <w:sz w:val="24"/>
          <w:szCs w:val="24"/>
        </w:rPr>
      </w:pPr>
      <w:r w:rsidRPr="004D28DC">
        <w:rPr>
          <w:rFonts w:ascii="Lato" w:hAnsi="Lato"/>
          <w:sz w:val="24"/>
          <w:szCs w:val="24"/>
        </w:rPr>
        <w:t>Министерство здравоохранения Российской Федерации</w:t>
      </w:r>
    </w:p>
    <w:p w:rsidR="00302131" w:rsidRPr="004D28DC" w:rsidRDefault="00992088">
      <w:pPr>
        <w:pStyle w:val="20"/>
        <w:framePr w:w="9259" w:h="9194" w:hRule="exact" w:wrap="none" w:vAnchor="page" w:hAnchor="page" w:x="1643" w:y="6404"/>
        <w:shd w:val="clear" w:color="auto" w:fill="auto"/>
        <w:spacing w:before="0" w:after="0" w:line="302" w:lineRule="exact"/>
        <w:ind w:left="160" w:firstLine="70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 xml:space="preserve">ЦК профсоюза работников здравоохранения РФ рассмотрел проект приказа Минздрава России «Об утверждении </w:t>
      </w:r>
      <w:r w:rsidRPr="004D28DC">
        <w:rPr>
          <w:rFonts w:ascii="Lato" w:hAnsi="Lato"/>
          <w:sz w:val="23"/>
          <w:szCs w:val="23"/>
        </w:rPr>
        <w:t>Положения об аккредитации специалистов», размещенного для общественного обсуждения, и сообщает следующее.</w:t>
      </w:r>
    </w:p>
    <w:p w:rsidR="00302131" w:rsidRPr="004D28DC" w:rsidRDefault="00992088">
      <w:pPr>
        <w:pStyle w:val="20"/>
        <w:framePr w:w="9259" w:h="9194" w:hRule="exact" w:wrap="none" w:vAnchor="page" w:hAnchor="page" w:x="1643" w:y="6404"/>
        <w:shd w:val="clear" w:color="auto" w:fill="auto"/>
        <w:spacing w:before="0" w:after="0" w:line="312" w:lineRule="exact"/>
        <w:ind w:left="160" w:firstLine="70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По мнению ЦК Профсоюза, требуют дополнительного рассмотрения пункты 85.1, 85.3 и 85.4, предусматривающие оценку деятельности аккредитуемого специалист</w:t>
      </w:r>
      <w:r w:rsidRPr="004D28DC">
        <w:rPr>
          <w:rFonts w:ascii="Lato" w:hAnsi="Lato"/>
          <w:sz w:val="23"/>
          <w:szCs w:val="23"/>
        </w:rPr>
        <w:t xml:space="preserve">а руководителем медицинской организации. Считаем необходимым предусмотреть обязательность пояснения руководителем организации оценки баллов, выставляемых по каждому показателю профессиональной деятельности аккредитуемого, в первую очередь, низких оценок - </w:t>
      </w:r>
      <w:r w:rsidRPr="004D28DC">
        <w:rPr>
          <w:rFonts w:ascii="Lato" w:hAnsi="Lato"/>
          <w:sz w:val="23"/>
          <w:szCs w:val="23"/>
        </w:rPr>
        <w:t>«неудовлетворительно» и «удовлетворительно», что позволит исключить необъективное мнение руководителей по отношению к специалистам.</w:t>
      </w:r>
    </w:p>
    <w:p w:rsidR="00302131" w:rsidRPr="004D28DC" w:rsidRDefault="00992088">
      <w:pPr>
        <w:pStyle w:val="20"/>
        <w:framePr w:w="9259" w:h="9194" w:hRule="exact" w:wrap="none" w:vAnchor="page" w:hAnchor="page" w:x="1643" w:y="6404"/>
        <w:shd w:val="clear" w:color="auto" w:fill="auto"/>
        <w:spacing w:before="0" w:after="0" w:line="312" w:lineRule="exact"/>
        <w:ind w:left="160" w:firstLine="70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С учетом имеющихся в настоящее время вопросов в части нормативноправового, организационного и финансового обеспечения непрер</w:t>
      </w:r>
      <w:r w:rsidRPr="004D28DC">
        <w:rPr>
          <w:rFonts w:ascii="Lato" w:hAnsi="Lato"/>
          <w:sz w:val="23"/>
          <w:szCs w:val="23"/>
        </w:rPr>
        <w:t>ывного совершенствования профессиональных навыков и расширения квалификации специалистов, считаем необходимым более четко сформулировать (в п.. 87) порядок отражения в портфолио результатов совершенствования профессиональных навыков в рамках «курсового» по</w:t>
      </w:r>
      <w:r w:rsidRPr="004D28DC">
        <w:rPr>
          <w:rFonts w:ascii="Lato" w:hAnsi="Lato"/>
          <w:sz w:val="23"/>
          <w:szCs w:val="23"/>
        </w:rPr>
        <w:t>вышения квалификации (1 раз в пять лет), наряду с отражением образовательных мероприятий, предлагаемых порталом НМО Минздрава России.</w:t>
      </w:r>
    </w:p>
    <w:p w:rsidR="00302131" w:rsidRPr="004D28DC" w:rsidRDefault="00992088">
      <w:pPr>
        <w:pStyle w:val="20"/>
        <w:framePr w:w="9259" w:h="9194" w:hRule="exact" w:wrap="none" w:vAnchor="page" w:hAnchor="page" w:x="1643" w:y="6404"/>
        <w:shd w:val="clear" w:color="auto" w:fill="auto"/>
        <w:spacing w:before="0" w:after="0" w:line="312" w:lineRule="exact"/>
        <w:ind w:left="160" w:firstLine="70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Требует дополнительного рассмотрения вопрос о возможности трудоустройства специалистов, повторно не прошедших первичную ил</w:t>
      </w:r>
      <w:r w:rsidRPr="004D28DC">
        <w:rPr>
          <w:rFonts w:ascii="Lato" w:hAnsi="Lato"/>
          <w:sz w:val="23"/>
          <w:szCs w:val="23"/>
        </w:rPr>
        <w:t>и первичную специализированную аккредитацию, в период до последующего допуска к аккредитации (11 месяцев), а также не прошедших процедуру аккредитации с учетом результатов апелляции.</w:t>
      </w:r>
    </w:p>
    <w:p w:rsidR="00302131" w:rsidRPr="004D28DC" w:rsidRDefault="00992088" w:rsidP="00E72D15">
      <w:pPr>
        <w:pStyle w:val="20"/>
        <w:framePr w:w="9259" w:h="9194" w:hRule="exact" w:wrap="none" w:vAnchor="page" w:hAnchor="page" w:x="1643" w:y="6404"/>
        <w:shd w:val="clear" w:color="auto" w:fill="auto"/>
        <w:spacing w:before="0" w:after="0" w:line="331" w:lineRule="exact"/>
        <w:ind w:firstLine="70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С целью нормативно-правового урегулирования вопросов участия членов аккре</w:t>
      </w:r>
      <w:r w:rsidRPr="004D28DC">
        <w:rPr>
          <w:rFonts w:ascii="Lato" w:hAnsi="Lato"/>
          <w:sz w:val="23"/>
          <w:szCs w:val="23"/>
        </w:rPr>
        <w:t>дитационных комиссий (подкомиссий) - специалистов практического здравоохранения, участвующих к процедуре аккредитации с</w:t>
      </w:r>
      <w:r w:rsidR="00E72D15" w:rsidRPr="00E72D15">
        <w:rPr>
          <w:rFonts w:ascii="Lato" w:hAnsi="Lato"/>
          <w:sz w:val="23"/>
          <w:szCs w:val="23"/>
        </w:rPr>
        <w:t xml:space="preserve"> </w:t>
      </w:r>
      <w:r w:rsidR="00E72D15" w:rsidRPr="004D28DC">
        <w:rPr>
          <w:rFonts w:ascii="Lato" w:hAnsi="Lato"/>
          <w:sz w:val="23"/>
          <w:szCs w:val="23"/>
        </w:rPr>
        <w:t>отрывом от работы,</w:t>
      </w:r>
    </w:p>
    <w:p w:rsidR="00302131" w:rsidRDefault="00302131">
      <w:pPr>
        <w:rPr>
          <w:sz w:val="2"/>
          <w:szCs w:val="2"/>
        </w:rPr>
        <w:sectPr w:rsidR="003021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2131" w:rsidRDefault="00992088">
      <w:pPr>
        <w:pStyle w:val="a5"/>
        <w:framePr w:wrap="none" w:vAnchor="page" w:hAnchor="page" w:x="10701" w:y="1200"/>
        <w:shd w:val="clear" w:color="auto" w:fill="auto"/>
        <w:spacing w:line="200" w:lineRule="exact"/>
      </w:pPr>
      <w:r>
        <w:lastRenderedPageBreak/>
        <w:t>2</w:t>
      </w:r>
    </w:p>
    <w:p w:rsidR="00302131" w:rsidRPr="004D28DC" w:rsidRDefault="00992088" w:rsidP="00E72D15">
      <w:pPr>
        <w:pStyle w:val="20"/>
        <w:framePr w:w="9144" w:h="3841" w:hRule="exact" w:wrap="none" w:vAnchor="page" w:hAnchor="page" w:x="1701" w:y="1676"/>
        <w:shd w:val="clear" w:color="auto" w:fill="auto"/>
        <w:spacing w:before="0" w:after="0" w:line="331" w:lineRule="exact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 xml:space="preserve">считаем необходимым в данном проекте Положения (раздел II) предусмотреть решение следующих </w:t>
      </w:r>
      <w:r w:rsidRPr="004D28DC">
        <w:rPr>
          <w:rFonts w:ascii="Lato" w:hAnsi="Lato"/>
          <w:sz w:val="23"/>
          <w:szCs w:val="23"/>
        </w:rPr>
        <w:t>вопросов:</w:t>
      </w:r>
    </w:p>
    <w:p w:rsidR="00302131" w:rsidRPr="004D28DC" w:rsidRDefault="00992088">
      <w:pPr>
        <w:pStyle w:val="20"/>
        <w:framePr w:w="9144" w:h="3841" w:hRule="exact" w:wrap="none" w:vAnchor="page" w:hAnchor="page" w:x="1701" w:y="1676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312" w:lineRule="exact"/>
        <w:ind w:firstLine="62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порядок командирования работников медицинских организаций для их участия в работе аккредитационны</w:t>
      </w:r>
      <w:bookmarkStart w:id="0" w:name="_GoBack"/>
      <w:bookmarkEnd w:id="0"/>
      <w:r w:rsidRPr="004D28DC">
        <w:rPr>
          <w:rFonts w:ascii="Lato" w:hAnsi="Lato"/>
          <w:sz w:val="23"/>
          <w:szCs w:val="23"/>
        </w:rPr>
        <w:t>х комиссий;</w:t>
      </w:r>
    </w:p>
    <w:p w:rsidR="00302131" w:rsidRPr="004D28DC" w:rsidRDefault="00992088">
      <w:pPr>
        <w:pStyle w:val="20"/>
        <w:framePr w:w="9144" w:h="3841" w:hRule="exact" w:wrap="none" w:vAnchor="page" w:hAnchor="page" w:x="1701" w:y="1676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341" w:lineRule="exact"/>
        <w:ind w:firstLine="62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гарантии сохранения за ними места работы (должности) и среднего заработка по основному месту работы и работы по совместительству;</w:t>
      </w:r>
    </w:p>
    <w:p w:rsidR="00302131" w:rsidRPr="004D28DC" w:rsidRDefault="00992088">
      <w:pPr>
        <w:pStyle w:val="20"/>
        <w:framePr w:w="9144" w:h="3841" w:hRule="exact" w:wrap="none" w:vAnchor="page" w:hAnchor="page" w:x="1701" w:y="1676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229" w:line="302" w:lineRule="exact"/>
        <w:ind w:firstLine="62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порядок</w:t>
      </w:r>
      <w:r w:rsidRPr="004D28DC">
        <w:rPr>
          <w:rFonts w:ascii="Lato" w:hAnsi="Lato"/>
          <w:sz w:val="23"/>
          <w:szCs w:val="23"/>
        </w:rPr>
        <w:t xml:space="preserve"> возмещения расходов, связанных со служебной командировкой, установленного действующим трудовым законодательством.</w:t>
      </w:r>
    </w:p>
    <w:p w:rsidR="00302131" w:rsidRPr="004D28DC" w:rsidRDefault="00992088">
      <w:pPr>
        <w:pStyle w:val="20"/>
        <w:framePr w:w="9144" w:h="3841" w:hRule="exact" w:wrap="none" w:vAnchor="page" w:hAnchor="page" w:x="1701" w:y="1676"/>
        <w:shd w:val="clear" w:color="auto" w:fill="auto"/>
        <w:spacing w:before="0" w:after="0"/>
        <w:ind w:firstLine="620"/>
        <w:jc w:val="both"/>
        <w:rPr>
          <w:rFonts w:ascii="Lato" w:hAnsi="Lato"/>
          <w:sz w:val="23"/>
          <w:szCs w:val="23"/>
        </w:rPr>
      </w:pPr>
      <w:r w:rsidRPr="004D28DC">
        <w:rPr>
          <w:rFonts w:ascii="Lato" w:hAnsi="Lato"/>
          <w:sz w:val="23"/>
          <w:szCs w:val="23"/>
        </w:rPr>
        <w:t>Просим рассмотреть наши предложения, направленные на обеспечение трудовых прав и интересов специалистов здравоохранения, в рамках доработки п</w:t>
      </w:r>
      <w:r w:rsidRPr="004D28DC">
        <w:rPr>
          <w:rFonts w:ascii="Lato" w:hAnsi="Lato"/>
          <w:sz w:val="23"/>
          <w:szCs w:val="23"/>
        </w:rPr>
        <w:t>роекта Положения.</w:t>
      </w:r>
    </w:p>
    <w:p w:rsidR="00302131" w:rsidRDefault="004D28DC">
      <w:pPr>
        <w:framePr w:wrap="none" w:vAnchor="page" w:hAnchor="page" w:x="1754" w:y="92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19700" cy="1114425"/>
            <wp:effectExtent l="0" t="0" r="0" b="9525"/>
            <wp:docPr id="2" name="Рисунок 2" descr="C:\Users\35-30_2\Desktop\для Ив Ив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-30_2\Desktop\для Ив Ив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31" w:rsidRDefault="00992088">
      <w:pPr>
        <w:pStyle w:val="50"/>
        <w:framePr w:w="9144" w:h="533" w:hRule="exact" w:wrap="none" w:vAnchor="page" w:hAnchor="page" w:x="1701" w:y="13081"/>
        <w:shd w:val="clear" w:color="auto" w:fill="auto"/>
        <w:spacing w:before="0"/>
        <w:ind w:right="7700"/>
      </w:pPr>
      <w:r>
        <w:t xml:space="preserve">Жаворонков И.И. </w:t>
      </w:r>
      <w:r>
        <w:rPr>
          <w:rStyle w:val="51"/>
        </w:rPr>
        <w:t>8</w:t>
      </w:r>
      <w:r>
        <w:rPr>
          <w:rStyle w:val="52"/>
        </w:rPr>
        <w:t xml:space="preserve"> </w:t>
      </w:r>
      <w:r>
        <w:rPr>
          <w:rStyle w:val="51"/>
        </w:rPr>
        <w:t>495</w:t>
      </w:r>
      <w:r>
        <w:rPr>
          <w:rStyle w:val="52"/>
        </w:rPr>
        <w:t xml:space="preserve"> </w:t>
      </w:r>
      <w:r>
        <w:rPr>
          <w:rStyle w:val="51"/>
        </w:rPr>
        <w:t>938</w:t>
      </w:r>
      <w:r>
        <w:rPr>
          <w:rStyle w:val="52"/>
        </w:rPr>
        <w:t xml:space="preserve"> </w:t>
      </w:r>
      <w:r>
        <w:rPr>
          <w:rStyle w:val="51"/>
        </w:rPr>
        <w:t>81</w:t>
      </w:r>
      <w:r>
        <w:rPr>
          <w:rStyle w:val="52"/>
        </w:rPr>
        <w:t xml:space="preserve"> </w:t>
      </w:r>
      <w:r>
        <w:rPr>
          <w:rStyle w:val="51"/>
        </w:rPr>
        <w:t>55</w:t>
      </w:r>
    </w:p>
    <w:p w:rsidR="00302131" w:rsidRDefault="00302131">
      <w:pPr>
        <w:rPr>
          <w:sz w:val="2"/>
          <w:szCs w:val="2"/>
        </w:rPr>
      </w:pPr>
    </w:p>
    <w:sectPr w:rsidR="003021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88" w:rsidRDefault="00992088">
      <w:r>
        <w:separator/>
      </w:r>
    </w:p>
  </w:endnote>
  <w:endnote w:type="continuationSeparator" w:id="0">
    <w:p w:rsidR="00992088" w:rsidRDefault="009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88" w:rsidRDefault="00992088"/>
  </w:footnote>
  <w:footnote w:type="continuationSeparator" w:id="0">
    <w:p w:rsidR="00992088" w:rsidRDefault="00992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B05B7"/>
    <w:multiLevelType w:val="multilevel"/>
    <w:tmpl w:val="C0BEC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1"/>
    <w:rsid w:val="00302131"/>
    <w:rsid w:val="004D28DC"/>
    <w:rsid w:val="00992088"/>
    <w:rsid w:val="00E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80879-CF5A-4D06-99C7-EF11922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80" w:after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E72D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D1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35-30_2</dc:creator>
  <cp:lastModifiedBy>35-30_2</cp:lastModifiedBy>
  <cp:revision>3</cp:revision>
  <cp:lastPrinted>2022-11-03T06:54:00Z</cp:lastPrinted>
  <dcterms:created xsi:type="dcterms:W3CDTF">2022-11-03T06:54:00Z</dcterms:created>
  <dcterms:modified xsi:type="dcterms:W3CDTF">2022-11-03T06:57:00Z</dcterms:modified>
</cp:coreProperties>
</file>